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6" w:rsidRPr="00B369E8" w:rsidRDefault="00790CE6" w:rsidP="00790CE6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  <w:r w:rsidRPr="00B369E8">
        <w:rPr>
          <w:szCs w:val="28"/>
          <w:lang w:val="uk-UA"/>
        </w:rPr>
        <w:t>Х</w:t>
      </w:r>
      <w:r>
        <w:rPr>
          <w:szCs w:val="28"/>
          <w:lang w:val="en-US"/>
        </w:rPr>
        <w:t>L</w:t>
      </w:r>
      <w:r w:rsidRPr="00EB0F63">
        <w:rPr>
          <w:szCs w:val="28"/>
          <w:lang w:val="en-US"/>
        </w:rPr>
        <w:t>V</w:t>
      </w:r>
      <w:r>
        <w:rPr>
          <w:szCs w:val="28"/>
          <w:lang w:val="uk-UA"/>
        </w:rPr>
        <w:t>ІІ</w:t>
      </w:r>
      <w:r w:rsidRPr="00B369E8">
        <w:rPr>
          <w:szCs w:val="28"/>
          <w:lang w:val="uk-UA"/>
        </w:rPr>
        <w:t xml:space="preserve"> </w:t>
      </w:r>
      <w:r w:rsidRPr="00B369E8">
        <w:rPr>
          <w:lang w:val="uk-UA"/>
        </w:rPr>
        <w:t xml:space="preserve">сесія </w:t>
      </w:r>
      <w:r w:rsidRPr="00EB0F63">
        <w:t>V</w:t>
      </w:r>
      <w:r w:rsidRPr="00B369E8">
        <w:rPr>
          <w:lang w:val="uk-UA"/>
        </w:rPr>
        <w:t>ІІ скликання</w:t>
      </w:r>
    </w:p>
    <w:p w:rsidR="00790CE6" w:rsidRPr="00790CE6" w:rsidRDefault="00790CE6" w:rsidP="00790CE6">
      <w:pPr>
        <w:pStyle w:val="5"/>
        <w:rPr>
          <w:b/>
          <w:sz w:val="27"/>
          <w:szCs w:val="27"/>
        </w:rPr>
      </w:pPr>
      <w:r w:rsidRPr="00790CE6">
        <w:rPr>
          <w:b/>
          <w:sz w:val="27"/>
          <w:szCs w:val="27"/>
        </w:rPr>
        <w:t>PІШЕННЯ № 560</w:t>
      </w:r>
    </w:p>
    <w:p w:rsidR="00790CE6" w:rsidRPr="00790CE6" w:rsidRDefault="00790CE6" w:rsidP="00790CE6">
      <w:pPr>
        <w:rPr>
          <w:b/>
          <w:sz w:val="28"/>
          <w:szCs w:val="28"/>
          <w:lang w:val="uk-UA"/>
        </w:rPr>
      </w:pPr>
      <w:r w:rsidRPr="00790CE6">
        <w:rPr>
          <w:b/>
          <w:sz w:val="28"/>
          <w:szCs w:val="28"/>
          <w:lang w:val="uk-UA"/>
        </w:rPr>
        <w:t>від 17 грудня 2019 року</w:t>
      </w:r>
    </w:p>
    <w:p w:rsidR="00790CE6" w:rsidRDefault="00790CE6" w:rsidP="00790CE6">
      <w:pPr>
        <w:rPr>
          <w:sz w:val="28"/>
          <w:szCs w:val="28"/>
          <w:lang w:val="uk-UA"/>
        </w:rPr>
      </w:pPr>
    </w:p>
    <w:p w:rsidR="00790CE6" w:rsidRDefault="00790CE6" w:rsidP="00790CE6">
      <w:pPr>
        <w:rPr>
          <w:color w:val="000000"/>
          <w:sz w:val="28"/>
          <w:szCs w:val="28"/>
          <w:lang w:val="uk-UA"/>
        </w:rPr>
      </w:pPr>
      <w:r w:rsidRPr="00E378FF">
        <w:rPr>
          <w:color w:val="000000"/>
          <w:sz w:val="28"/>
          <w:szCs w:val="28"/>
          <w:lang w:val="uk-UA"/>
        </w:rPr>
        <w:t xml:space="preserve">Про районний бюджет </w:t>
      </w:r>
      <w:proofErr w:type="spellStart"/>
      <w:r w:rsidRPr="00E378FF">
        <w:rPr>
          <w:color w:val="000000"/>
          <w:sz w:val="28"/>
          <w:szCs w:val="28"/>
          <w:lang w:val="uk-UA"/>
        </w:rPr>
        <w:t>Золочівського</w:t>
      </w:r>
      <w:proofErr w:type="spellEnd"/>
      <w:r w:rsidRPr="00E378FF">
        <w:rPr>
          <w:color w:val="000000"/>
          <w:sz w:val="28"/>
          <w:szCs w:val="28"/>
          <w:lang w:val="uk-UA"/>
        </w:rPr>
        <w:t xml:space="preserve"> району на 2020 рік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378"/>
      </w:tblGrid>
      <w:tr w:rsidR="00790CE6" w:rsidRPr="00790CE6" w:rsidTr="00C04B7F">
        <w:trPr>
          <w:tblCellSpacing w:w="18" w:type="dxa"/>
          <w:jc w:val="center"/>
        </w:trPr>
        <w:tc>
          <w:tcPr>
            <w:tcW w:w="4965" w:type="pct"/>
          </w:tcPr>
          <w:p w:rsidR="00790CE6" w:rsidRPr="00A626A5" w:rsidRDefault="00790CE6" w:rsidP="00C04B7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90CE6" w:rsidRPr="00A626A5" w:rsidRDefault="00790CE6" w:rsidP="00C04B7F">
            <w:pPr>
              <w:pStyle w:val="a3"/>
              <w:spacing w:after="0"/>
              <w:ind w:left="0" w:firstLine="708"/>
              <w:jc w:val="both"/>
              <w:rPr>
                <w:sz w:val="28"/>
                <w:szCs w:val="28"/>
                <w:lang w:val="uk-UA"/>
              </w:rPr>
            </w:pPr>
            <w:r w:rsidRPr="00A626A5">
              <w:rPr>
                <w:sz w:val="28"/>
                <w:szCs w:val="28"/>
                <w:lang w:val="uk-UA"/>
              </w:rPr>
              <w:t xml:space="preserve">Відповідно до </w:t>
            </w:r>
            <w:r>
              <w:rPr>
                <w:sz w:val="28"/>
                <w:szCs w:val="28"/>
                <w:lang w:val="uk-UA"/>
              </w:rPr>
              <w:t>ст.ст.</w:t>
            </w:r>
            <w:r w:rsidRPr="00A626A5">
              <w:rPr>
                <w:sz w:val="28"/>
                <w:szCs w:val="28"/>
                <w:lang w:val="uk-UA"/>
              </w:rPr>
              <w:t xml:space="preserve"> 75</w:t>
            </w:r>
            <w:r w:rsidRPr="004F6EBC">
              <w:rPr>
                <w:sz w:val="28"/>
                <w:szCs w:val="28"/>
                <w:lang w:val="uk-UA"/>
              </w:rPr>
              <w:t>-</w:t>
            </w:r>
            <w:r w:rsidRPr="00A626A5">
              <w:rPr>
                <w:sz w:val="28"/>
                <w:szCs w:val="28"/>
                <w:lang w:val="uk-UA"/>
              </w:rPr>
              <w:t>77  Бюджетного кодексу України, Закону України «Про Державний бюджет України на 2020 рік», керуючись п</w:t>
            </w:r>
            <w:r>
              <w:rPr>
                <w:sz w:val="28"/>
                <w:szCs w:val="28"/>
                <w:lang w:val="uk-UA"/>
              </w:rPr>
              <w:t>.</w:t>
            </w:r>
            <w:r w:rsidRPr="00A626A5">
              <w:rPr>
                <w:sz w:val="28"/>
                <w:szCs w:val="28"/>
                <w:lang w:val="uk-UA"/>
              </w:rPr>
              <w:t xml:space="preserve"> 17 частини першої </w:t>
            </w:r>
            <w:r>
              <w:rPr>
                <w:sz w:val="28"/>
                <w:szCs w:val="28"/>
                <w:lang w:val="uk-UA"/>
              </w:rPr>
              <w:t>ст.</w:t>
            </w:r>
            <w:r w:rsidRPr="00A626A5">
              <w:rPr>
                <w:sz w:val="28"/>
                <w:szCs w:val="28"/>
                <w:lang w:val="uk-UA"/>
              </w:rPr>
              <w:t xml:space="preserve">43, </w:t>
            </w:r>
            <w:r>
              <w:rPr>
                <w:sz w:val="28"/>
                <w:szCs w:val="28"/>
                <w:lang w:val="uk-UA"/>
              </w:rPr>
              <w:t>ст.ст.</w:t>
            </w:r>
            <w:r w:rsidRPr="00A626A5">
              <w:rPr>
                <w:sz w:val="28"/>
                <w:szCs w:val="28"/>
                <w:lang w:val="uk-UA"/>
              </w:rPr>
              <w:t xml:space="preserve"> 61-64, 66 Закону України «Про місцеве самоврядування в Україні» </w:t>
            </w:r>
            <w:proofErr w:type="spellStart"/>
            <w:r w:rsidRPr="00A626A5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A626A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626A5">
              <w:rPr>
                <w:sz w:val="28"/>
                <w:szCs w:val="28"/>
                <w:lang w:val="uk-UA"/>
              </w:rPr>
              <w:t>районна рада</w:t>
            </w:r>
          </w:p>
          <w:p w:rsidR="00790CE6" w:rsidRPr="008E1526" w:rsidRDefault="00790CE6" w:rsidP="00C04B7F">
            <w:pPr>
              <w:pStyle w:val="a3"/>
              <w:spacing w:after="0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8E1526"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8E1526">
              <w:rPr>
                <w:sz w:val="28"/>
                <w:szCs w:val="28"/>
                <w:lang w:val="uk-UA"/>
              </w:rPr>
              <w:t>ВИРІШИЛА:</w:t>
            </w:r>
            <w:r w:rsidRPr="008E1526">
              <w:rPr>
                <w:i/>
                <w:sz w:val="28"/>
                <w:szCs w:val="28"/>
                <w:lang w:val="uk-UA"/>
              </w:rPr>
              <w:t xml:space="preserve">    </w:t>
            </w:r>
          </w:p>
          <w:p w:rsidR="00790CE6" w:rsidRPr="008E1526" w:rsidRDefault="00790CE6" w:rsidP="00C04B7F">
            <w:pPr>
              <w:pStyle w:val="a5"/>
              <w:tabs>
                <w:tab w:val="left" w:pos="71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 xml:space="preserve">          1. Визначити на 2020 рік: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bCs/>
                <w:sz w:val="28"/>
                <w:szCs w:val="28"/>
              </w:rPr>
              <w:t>- доходи</w:t>
            </w:r>
            <w:r w:rsidRPr="008E1526">
              <w:rPr>
                <w:sz w:val="28"/>
                <w:szCs w:val="28"/>
              </w:rPr>
              <w:t xml:space="preserve"> районного бюджету у сумі 365895800 гривень, у тому числі доходи загального фонду районного бюджету - 359862200 гривень та доходи спеціального фонду районного бюджету – 6033600 гривень згідно з додатком </w:t>
            </w:r>
            <w:r>
              <w:rPr>
                <w:sz w:val="28"/>
                <w:szCs w:val="28"/>
              </w:rPr>
              <w:t>№1</w:t>
            </w:r>
            <w:r w:rsidRPr="008E1526">
              <w:rPr>
                <w:sz w:val="28"/>
                <w:szCs w:val="28"/>
              </w:rPr>
              <w:t>;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bCs/>
                <w:sz w:val="28"/>
                <w:szCs w:val="28"/>
              </w:rPr>
              <w:t>- видатки</w:t>
            </w:r>
            <w:r w:rsidRPr="008E1526">
              <w:rPr>
                <w:sz w:val="28"/>
                <w:szCs w:val="28"/>
              </w:rPr>
              <w:t xml:space="preserve"> районного бюджету у сумі</w:t>
            </w:r>
            <w:r w:rsidRPr="008E1526">
              <w:rPr>
                <w:i/>
                <w:iCs/>
                <w:sz w:val="28"/>
                <w:szCs w:val="28"/>
                <w:vertAlign w:val="superscript"/>
              </w:rPr>
              <w:t xml:space="preserve">  </w:t>
            </w:r>
            <w:r w:rsidRPr="008E1526">
              <w:rPr>
                <w:sz w:val="28"/>
                <w:szCs w:val="28"/>
              </w:rPr>
              <w:t>368895800 гривень, у тому числі видатки загального фонду районного бюджету – 360012200 гривень та видатки спеціального фонду районного бюджету - 8883600 гривень в тому числі бюджету розвитку 2850000 грн.;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 xml:space="preserve">- дефіцит загального фонду районного бюджету в сумі 150000 гривень згідно з додатком </w:t>
            </w:r>
            <w:r>
              <w:rPr>
                <w:sz w:val="28"/>
                <w:szCs w:val="28"/>
              </w:rPr>
              <w:t>№</w:t>
            </w:r>
            <w:r w:rsidRPr="008E1526">
              <w:rPr>
                <w:sz w:val="28"/>
                <w:szCs w:val="28"/>
              </w:rPr>
              <w:t>2;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 xml:space="preserve">- дефіцит спеціального фонду районного бюджету в сумі 2850000 гривень згідно з додатком </w:t>
            </w:r>
            <w:r>
              <w:rPr>
                <w:sz w:val="28"/>
                <w:szCs w:val="28"/>
              </w:rPr>
              <w:t>№</w:t>
            </w:r>
            <w:r w:rsidRPr="008E1526">
              <w:rPr>
                <w:sz w:val="28"/>
                <w:szCs w:val="28"/>
              </w:rPr>
              <w:t>2;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bCs/>
                <w:sz w:val="28"/>
                <w:szCs w:val="28"/>
              </w:rPr>
              <w:t>- оборотний залишок бюджетних коштів</w:t>
            </w:r>
            <w:r w:rsidRPr="008E1526">
              <w:rPr>
                <w:b/>
                <w:bCs/>
                <w:sz w:val="28"/>
                <w:szCs w:val="28"/>
              </w:rPr>
              <w:t xml:space="preserve"> </w:t>
            </w:r>
            <w:r w:rsidRPr="008E1526">
              <w:rPr>
                <w:sz w:val="28"/>
                <w:szCs w:val="28"/>
              </w:rPr>
              <w:t>районного бюджету у розмірі 300000 гривень, що становить 0,08 відсотків видатків загального фонду районного бюджету, визначених цим пунктом;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bCs/>
                <w:sz w:val="28"/>
                <w:szCs w:val="28"/>
              </w:rPr>
              <w:t>- резервний фонд</w:t>
            </w:r>
            <w:r w:rsidRPr="008E1526">
              <w:rPr>
                <w:sz w:val="28"/>
                <w:szCs w:val="28"/>
              </w:rPr>
              <w:t xml:space="preserve"> районного бюджету у розмірі 3542100 гривень, що становить 0,98 відсотків видатків загального фонду районного бюджету, визначених цим пунктом.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>2.</w:t>
            </w:r>
            <w:r w:rsidRPr="008E1526">
              <w:rPr>
                <w:b/>
                <w:bCs/>
                <w:sz w:val="28"/>
                <w:szCs w:val="28"/>
              </w:rPr>
              <w:t xml:space="preserve"> </w:t>
            </w:r>
            <w:r w:rsidRPr="008E1526">
              <w:rPr>
                <w:sz w:val="28"/>
                <w:szCs w:val="28"/>
              </w:rPr>
              <w:t xml:space="preserve">Затвердити </w:t>
            </w:r>
            <w:r w:rsidRPr="008E1526">
              <w:rPr>
                <w:bCs/>
                <w:sz w:val="28"/>
                <w:szCs w:val="28"/>
              </w:rPr>
              <w:t>бюджетні призначення</w:t>
            </w:r>
            <w:r w:rsidRPr="008E1526">
              <w:rPr>
                <w:sz w:val="28"/>
                <w:szCs w:val="28"/>
              </w:rPr>
              <w:t xml:space="preserve"> головним розпорядникам коштів районного бюджету на 2020 рік у розрізі відповідальних виконавців за бюджетними програмами згідно з додатком </w:t>
            </w:r>
            <w:r>
              <w:rPr>
                <w:sz w:val="28"/>
                <w:szCs w:val="28"/>
              </w:rPr>
              <w:t>№</w:t>
            </w:r>
            <w:r w:rsidRPr="008E1526">
              <w:rPr>
                <w:sz w:val="28"/>
                <w:szCs w:val="28"/>
              </w:rPr>
              <w:t>3.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>3.</w:t>
            </w:r>
            <w:r w:rsidRPr="008E1526">
              <w:rPr>
                <w:b/>
                <w:bCs/>
                <w:sz w:val="28"/>
                <w:szCs w:val="28"/>
              </w:rPr>
              <w:t xml:space="preserve"> </w:t>
            </w:r>
            <w:r w:rsidRPr="008E1526">
              <w:rPr>
                <w:sz w:val="28"/>
                <w:szCs w:val="28"/>
              </w:rPr>
              <w:t xml:space="preserve">Затвердити на 2020 рік </w:t>
            </w:r>
            <w:r w:rsidRPr="008E1526">
              <w:rPr>
                <w:bCs/>
                <w:sz w:val="28"/>
                <w:szCs w:val="28"/>
              </w:rPr>
              <w:t>міжбюджетні трансферти</w:t>
            </w:r>
            <w:r w:rsidRPr="008E1526">
              <w:rPr>
                <w:sz w:val="28"/>
                <w:szCs w:val="28"/>
              </w:rPr>
              <w:t xml:space="preserve"> згідно з додатком </w:t>
            </w:r>
            <w:r>
              <w:rPr>
                <w:sz w:val="28"/>
                <w:szCs w:val="28"/>
              </w:rPr>
              <w:t>№</w:t>
            </w:r>
            <w:r w:rsidRPr="008E1526">
              <w:rPr>
                <w:sz w:val="28"/>
                <w:szCs w:val="28"/>
              </w:rPr>
              <w:t>4.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 xml:space="preserve">4. Затвердити на 2020 рік розподіл коштів бюджету розвитку на здійснення заходів щодо будівництва, реконструкції та реставрації об’єктів виробничої, комунікаційної і соціальної інфраструктури за об’єктами згідно з додатком </w:t>
            </w:r>
            <w:r>
              <w:rPr>
                <w:sz w:val="28"/>
                <w:szCs w:val="28"/>
              </w:rPr>
              <w:t>№</w:t>
            </w:r>
            <w:r w:rsidRPr="008E15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 xml:space="preserve">5. Затвердити </w:t>
            </w:r>
            <w:r w:rsidRPr="008E1526">
              <w:rPr>
                <w:bCs/>
                <w:sz w:val="28"/>
                <w:szCs w:val="28"/>
              </w:rPr>
              <w:t>розподіл витрат районного бюджету на реалізацію районних програм</w:t>
            </w:r>
            <w:r w:rsidRPr="008E1526">
              <w:rPr>
                <w:sz w:val="28"/>
                <w:szCs w:val="28"/>
              </w:rPr>
              <w:t xml:space="preserve"> згідно з додатком </w:t>
            </w:r>
            <w:r>
              <w:rPr>
                <w:sz w:val="28"/>
                <w:szCs w:val="28"/>
              </w:rPr>
              <w:t>№</w:t>
            </w:r>
            <w:r w:rsidRPr="008E1526">
              <w:rPr>
                <w:sz w:val="28"/>
                <w:szCs w:val="28"/>
              </w:rPr>
              <w:t>6.</w:t>
            </w:r>
          </w:p>
          <w:p w:rsidR="00790CE6" w:rsidRPr="008E1526" w:rsidRDefault="00790CE6" w:rsidP="00C04B7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E1526">
              <w:rPr>
                <w:sz w:val="28"/>
                <w:szCs w:val="28"/>
              </w:rPr>
              <w:t>6. Визначити на 2020 рік відповідно до статті 55 Бюджетного кодексу України захищеними видатками районного бюджету видатки загального фонду на: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- оплату праці працівників бюджетних установ;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- нарахування на заробітну плату;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- придбання медикаментів та перев’язувальних матеріалів;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- забезпечення продуктами харчування;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lastRenderedPageBreak/>
              <w:t xml:space="preserve"> - оплату комунальних послуг та енергоносіїв;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    - поточні трансферти населенню;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    - поточні трансферти місцевим бюджетам;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    - компенсацію процентів, сплачуваних банкам за кредитами, отриманими                 громадянами на будівництво (реконструкцію) чи придбання житла;</w:t>
            </w:r>
          </w:p>
          <w:p w:rsidR="00790CE6" w:rsidRPr="008E1526" w:rsidRDefault="00790CE6" w:rsidP="00C04B7F">
            <w:pPr>
              <w:ind w:firstLine="103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>- програму державних гарантій медичного обслуговування населення.</w:t>
            </w:r>
          </w:p>
          <w:p w:rsidR="00790CE6" w:rsidRPr="008E1526" w:rsidRDefault="00790CE6" w:rsidP="00C04B7F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>7. Відповідно до статей 43 та 73 Бюджетного кодексу України виступати у 2020 році в особі начальника фінансового управління райдержадміністрації одержувачем позики на покриття тимчасових касових розривів районного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умовах, без нарахування відсотків за користування цими коштами з обов'язковим їх поверненням до кінця поточного бюджетного періоду.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8. Установити, що у 2020 році: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8.1. Плата за оренду майна зараховується згідно з  Положенням про оренду майна, що належить до спільної власності територіальних громад 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Золочівського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 району, затвердженого рішенням сесії районної ради від  27 грудня 2007 року №151.</w:t>
            </w:r>
          </w:p>
          <w:p w:rsidR="00790CE6" w:rsidRPr="008E1526" w:rsidRDefault="00790CE6" w:rsidP="00C04B7F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8.2. Підприємства районної комунальної власності сплачують до загального фонду районного бюджету частину чистого прибутку (доходу) в розмірі 10 відсотків відповідно до Порядку відрахування до загального фонду районного бюджету комунальними підприємствами, які належать до районної комунальної власності або в статутних фондах яких є  частка районної комунальної власності за результатами щоквартальної фінансово-господарської діяльності у 2020 році, затвердженого рішенням районної ради від 12 січня 2008 року №161 «Про відрахування частини прибутку комунальних підприємств, господарських організацій, що вилучається до бюджету».</w:t>
            </w:r>
          </w:p>
          <w:p w:rsidR="00790CE6" w:rsidRPr="008E1526" w:rsidRDefault="00790CE6" w:rsidP="00C04B7F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 8.3. Виявлені перевірками, проведеними працівниками фінансового управління райдержадміністрації суми незаконних видатків, недостач і крадіжок підлягають перерахуванню до районного бюджету.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1526">
              <w:rPr>
                <w:sz w:val="28"/>
                <w:szCs w:val="28"/>
                <w:lang w:val="uk-UA"/>
              </w:rPr>
              <w:t>У процесі виконання районного бюджету  у межах його загального обсягу перерозподіл видатків, що призводить до зміни обсягу затверджених бюджетних призначень головному розпорядникові коштів районного бюджету за загальним і спеціальним фондами (за винятком власних надходжень бюджетних установ та відповідних видатків), а також розподіл та перерозподіл затверджених і додатково наданих трансфертів здійснювати  з урахуванням вимог чинного бюджетного законодавства районній державній адміністрації за погодженням з головою районної ради та головою постійної комісії з питань бюджету і фінансів.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Зміни до напрямів використання коштів на реалізацію районних програм, переліку об’єктів,  визначених районними програмами, вносити районній державній адміністрації за погодженням головою районної ради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8E1526">
              <w:rPr>
                <w:sz w:val="28"/>
                <w:szCs w:val="28"/>
                <w:lang w:val="uk-UA"/>
              </w:rPr>
              <w:t>з головою постійної комісії з питань бюджету і фінансів.</w:t>
            </w:r>
          </w:p>
          <w:p w:rsidR="00790CE6" w:rsidRPr="008E1526" w:rsidRDefault="00790CE6" w:rsidP="00C04B7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10. У міжсесійний період у межах загального обсягу бюджетних призначень головного розпорядника бюджетних коштів передачу коштів між загальним і спеціальним фондами, а також збільшення бюджетних призначень на оплату праці </w:t>
            </w:r>
            <w:r w:rsidRPr="008E1526">
              <w:rPr>
                <w:sz w:val="28"/>
                <w:szCs w:val="28"/>
                <w:lang w:val="uk-UA"/>
              </w:rPr>
              <w:lastRenderedPageBreak/>
              <w:t xml:space="preserve">для бюджетних установ за рахунок зменшення інших видатків здійснювати районній державній адміністрації за погодженням з головою районної ради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8E1526">
              <w:rPr>
                <w:sz w:val="28"/>
                <w:szCs w:val="28"/>
                <w:lang w:val="uk-UA"/>
              </w:rPr>
              <w:t>головою постійної комісії з питань бюджету і фінансів.</w:t>
            </w:r>
          </w:p>
          <w:p w:rsidR="00790CE6" w:rsidRPr="008E1526" w:rsidRDefault="00790CE6" w:rsidP="00C04B7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11. Розподіл субвенції між місцевими бюджетами на утримання дитячих дошкільних установ проводиться згідно з формулою затвердженою додатком  №5 до цього рішення відповідно до пунктів 20, розділу VI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E1526">
              <w:rPr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8E1526">
              <w:rPr>
                <w:sz w:val="28"/>
                <w:szCs w:val="28"/>
                <w:lang w:val="uk-UA"/>
              </w:rPr>
              <w:t xml:space="preserve"> Бюджетного кодексу України.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12. Уповноважити голову районної ради підписувати договори про міжбюджетні трансферти при наявності погоджень керівника фінансового управління, головного розпорядника коштів районного бюджету та фінансового підрозділу відповідної ради.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13. Затвердити  на 2020 рік  граничні обсяги споживання енергоносіїв у фізичних розмірах для головних розпорядників бюджетних коштів згідно з додатком №7.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14. Головним розпорядникам коштів районного бюджету: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 14.1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У двотижневий термін з дня набрання чинності цього рішення затвердити обґрунтовані граничні обсяги споживання енергоносіїв у фізичних розмірах в розрізі бюджетних установ.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14.2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Забезпечити врахування розпорядниками коштів районного бюджету першочергово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проведення розрахунків за електричну та теплову енергію, водопостачання, водовідведення, природний газ і послуги зв’язку, які споживаються бюджетними установами.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14.3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Забезпечити збільшення власних надходжень районних комунальних некомерційних підприємств (охорона здоров’я) та інших установ плати за надане в оренду майно, від надання платних послуг відповідно до чинного законодавства, грошових надходжень від благодійних і страхових компаній, тощо, не менше ніж на 20 відсотків до очікуваного їх надходження у 2019 році.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14.4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Начальнику відділу освіти райдержадміністрації (</w:t>
            </w:r>
            <w:r>
              <w:rPr>
                <w:sz w:val="28"/>
                <w:szCs w:val="28"/>
                <w:lang w:val="uk-UA"/>
              </w:rPr>
              <w:t>В.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Бартошик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) провести оптимізацію структури методичного кабінету відділу освіти 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 райдержадміністрації, шляхом скорочення чисельності працівників на 50 відсотків, згідно кошторисних призначень на утримання методичного кабінету відділу освіти 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 райдержадміністрації.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15</w:t>
            </w:r>
            <w:r w:rsidRPr="008E1526">
              <w:rPr>
                <w:b/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Надати   пільги  відповідно до пунктів 2,  14 та 15 «Комплексної цільової програми соціальної підтримки населення 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Золочівського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 району на 2020 рік». 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16. Виплачувати  щомісячну  адресну  допомогу  учасникам  бойових  дій ОУН-УПА, вдовам учасників бойових дій ОУН-УПА та вдовам політв’язнів відповідно до рішення сесії районної ради від 19 квітня 2018 року №297 «Про щомісячну адресну допомогу  учасникам  бойових  дій  ОУН-УПА вдовам учасників бойових дій ОУН-УПА та вдовам політв’язнів». 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 17. При здійсненні будівництва, реконструкції та капітального ремонту об’єктів із залученням бюджетних коштів, коштів державних і комунальних підприємств, установ та організацій, а також кредитів, наданих під державні гарантії у 2020 році, </w:t>
            </w:r>
            <w:r w:rsidRPr="008E1526">
              <w:rPr>
                <w:sz w:val="28"/>
                <w:szCs w:val="28"/>
                <w:lang w:val="uk-UA"/>
              </w:rPr>
              <w:lastRenderedPageBreak/>
              <w:t>застосовувати кошторисну заробітну плату в розмірі 9726  (дев’ять тисяч сімсот двадцять шість ) гривень.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18. Рекомендувати органам місцевого самоврядування району для встановлення розміру кошторисної заробітної плати під час будівництва, реконструкції та капітального ремонту об’єктів із залученням бюджетних коштів, коштів державних і комунальних підприємств, установ та організацій, а також кредитів, наданих під державні гарантії у 2020 році, керуватися пунктом 19 цього рішення.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19</w:t>
            </w:r>
            <w:r w:rsidRPr="008E1526">
              <w:rPr>
                <w:b/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Органам місцевого самоврядування:</w:t>
            </w:r>
          </w:p>
          <w:p w:rsidR="00790CE6" w:rsidRPr="008E1526" w:rsidRDefault="00790CE6" w:rsidP="00C04B7F">
            <w:pPr>
              <w:tabs>
                <w:tab w:val="left" w:pos="1088"/>
              </w:tabs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 19.1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Забезпечити затвердження показників дохідної частини місцевих бюджетів на 2020 рік з врахуванням реальної бази оподаткування та максимального використання усіх наявних на місцевому рівні потенційних джерел наповнення бюджету, недопущення їх необґрунтованого завищення.</w:t>
            </w:r>
          </w:p>
          <w:p w:rsidR="00790CE6" w:rsidRPr="008E1526" w:rsidRDefault="00790CE6" w:rsidP="00C04B7F">
            <w:pPr>
              <w:tabs>
                <w:tab w:val="left" w:pos="1088"/>
              </w:tabs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19.2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Під час затвердження місцевих бюджетів на 2020 рік та внесення змін:</w:t>
            </w:r>
          </w:p>
          <w:p w:rsidR="00790CE6" w:rsidRPr="008E1526" w:rsidRDefault="00790CE6" w:rsidP="00C04B7F">
            <w:pPr>
              <w:tabs>
                <w:tab w:val="left" w:pos="1088"/>
              </w:tabs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- передбачити кошти  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 програм і заходів, для виконання яких виділяються кошти з державного, обласного та районного бюджетів.</w:t>
            </w:r>
          </w:p>
          <w:p w:rsidR="00790CE6" w:rsidRPr="008E1526" w:rsidRDefault="00790CE6" w:rsidP="00C04B7F">
            <w:pPr>
              <w:tabs>
                <w:tab w:val="left" w:pos="1088"/>
              </w:tabs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19.3</w:t>
            </w:r>
            <w:r>
              <w:rPr>
                <w:sz w:val="28"/>
                <w:szCs w:val="28"/>
                <w:lang w:val="uk-UA"/>
              </w:rPr>
              <w:t>.</w:t>
            </w:r>
            <w:r w:rsidRPr="008E1526">
              <w:rPr>
                <w:sz w:val="28"/>
                <w:szCs w:val="28"/>
                <w:lang w:val="uk-UA"/>
              </w:rPr>
              <w:t xml:space="preserve"> З метою отримання жителями територій належних послуг в установах освіти, культури,охорони здоров’я, соціального захисту населення, фізичної культури і спорту, які фінансуються з інших бюджетів, передбачати у відповідних бюджетах на цю мету надання субвенцій згідно з укладеними угодами.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bCs/>
                <w:sz w:val="28"/>
                <w:szCs w:val="28"/>
                <w:lang w:val="uk-UA"/>
              </w:rPr>
              <w:t xml:space="preserve">      20.</w:t>
            </w:r>
            <w:r w:rsidRPr="008E1526">
              <w:rPr>
                <w:sz w:val="28"/>
                <w:szCs w:val="28"/>
                <w:lang w:val="uk-UA"/>
              </w:rPr>
              <w:t xml:space="preserve"> У разі внесення Міністерством фінансів України змін та доповнень до бюджетної класифікації у частині присвоєння окремим трансфертам,  доходам і видаткам найменувань та кодів класифікації, фінансовому управлінню районної державної адміністрації враховувати такі зміни під час складання та виконання розпису районного бюджету на 2020 рік.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 21. Фінансовому управлінню райдержадміністрації (Г.Мудра):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bCs/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- видатки, пов’язані з утриманням бюджетних установ, фінансувати за відсутності </w:t>
            </w:r>
            <w:proofErr w:type="spellStart"/>
            <w:r w:rsidRPr="008E1526">
              <w:rPr>
                <w:sz w:val="28"/>
                <w:szCs w:val="28"/>
                <w:lang w:val="uk-UA"/>
              </w:rPr>
              <w:t>протермінованої</w:t>
            </w:r>
            <w:proofErr w:type="spellEnd"/>
            <w:r w:rsidRPr="008E1526">
              <w:rPr>
                <w:sz w:val="28"/>
                <w:szCs w:val="28"/>
                <w:lang w:val="uk-UA"/>
              </w:rPr>
              <w:t xml:space="preserve"> заборгованості із заробітної плати,  а також за спожиті комунальні послуги та енергоносії.</w:t>
            </w:r>
            <w:r w:rsidRPr="008E1526">
              <w:rPr>
                <w:bCs/>
                <w:sz w:val="28"/>
                <w:szCs w:val="28"/>
                <w:lang w:val="uk-UA"/>
              </w:rPr>
              <w:t xml:space="preserve"> Кошти на інші видатки виділяти лише за наявності забезпечення реальних надходжень бюджету;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bCs/>
                <w:sz w:val="28"/>
                <w:szCs w:val="28"/>
                <w:lang w:val="uk-UA"/>
              </w:rPr>
            </w:pPr>
            <w:r w:rsidRPr="008E1526">
              <w:rPr>
                <w:bCs/>
                <w:sz w:val="28"/>
                <w:szCs w:val="28"/>
                <w:lang w:val="uk-UA"/>
              </w:rPr>
              <w:t>- надання субвенцій з обласного бюджету місцевим бюджетам району здійснювати з урахуванням обсягу надходжень коштів на цю мету до районного бюджету;</w:t>
            </w:r>
          </w:p>
          <w:p w:rsidR="00790CE6" w:rsidRPr="008E1526" w:rsidRDefault="00790CE6" w:rsidP="00C04B7F">
            <w:pPr>
              <w:ind w:firstLine="851"/>
              <w:jc w:val="both"/>
              <w:rPr>
                <w:bCs/>
                <w:sz w:val="28"/>
                <w:szCs w:val="28"/>
                <w:lang w:val="uk-UA"/>
              </w:rPr>
            </w:pPr>
            <w:r w:rsidRPr="008E1526">
              <w:rPr>
                <w:bCs/>
                <w:sz w:val="28"/>
                <w:szCs w:val="28"/>
                <w:lang w:val="uk-UA"/>
              </w:rPr>
              <w:t xml:space="preserve">- кошти з районного бюджету виділяти в межах зареєстрованих розпорядниками коштів бюджетних зобов’язань в УДКСУ у </w:t>
            </w:r>
            <w:proofErr w:type="spellStart"/>
            <w:r w:rsidRPr="008E1526">
              <w:rPr>
                <w:bCs/>
                <w:sz w:val="28"/>
                <w:szCs w:val="28"/>
                <w:lang w:val="uk-UA"/>
              </w:rPr>
              <w:t>Золочівському</w:t>
            </w:r>
            <w:proofErr w:type="spellEnd"/>
            <w:r w:rsidRPr="008E1526">
              <w:rPr>
                <w:bCs/>
                <w:sz w:val="28"/>
                <w:szCs w:val="28"/>
                <w:lang w:val="uk-UA"/>
              </w:rPr>
              <w:t xml:space="preserve"> районі на підставі замовлень головних розпорядників коштів;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22.</w:t>
            </w:r>
            <w:r w:rsidRPr="001E69BE">
              <w:rPr>
                <w:sz w:val="28"/>
                <w:szCs w:val="28"/>
              </w:rPr>
              <w:t xml:space="preserve"> </w:t>
            </w:r>
            <w:r w:rsidRPr="008E1526">
              <w:rPr>
                <w:sz w:val="28"/>
                <w:szCs w:val="28"/>
                <w:lang w:val="uk-UA"/>
              </w:rPr>
              <w:t>Додатки  1- 8 до цього рішення є його невід’ємною частиною.</w:t>
            </w:r>
          </w:p>
          <w:p w:rsidR="00790CE6" w:rsidRPr="008E1526" w:rsidRDefault="00790CE6" w:rsidP="00C04B7F">
            <w:pPr>
              <w:jc w:val="both"/>
              <w:rPr>
                <w:sz w:val="28"/>
                <w:szCs w:val="28"/>
                <w:lang w:val="uk-UA"/>
              </w:rPr>
            </w:pPr>
            <w:r w:rsidRPr="008E1526">
              <w:rPr>
                <w:sz w:val="28"/>
                <w:szCs w:val="28"/>
                <w:lang w:val="uk-UA"/>
              </w:rPr>
              <w:t xml:space="preserve">     23. Це рішення  набирає чинності з 1 січня 2020 року.</w:t>
            </w:r>
          </w:p>
          <w:p w:rsidR="00790CE6" w:rsidRPr="008E1526" w:rsidRDefault="00790CE6" w:rsidP="00C04B7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E1526">
              <w:rPr>
                <w:bCs/>
                <w:sz w:val="28"/>
                <w:szCs w:val="28"/>
                <w:lang w:val="uk-UA"/>
              </w:rPr>
              <w:t xml:space="preserve">     24.</w:t>
            </w:r>
            <w:r w:rsidRPr="008E1526">
              <w:rPr>
                <w:sz w:val="28"/>
                <w:szCs w:val="28"/>
                <w:lang w:val="uk-UA"/>
              </w:rPr>
              <w:t xml:space="preserve"> Постійній комісії з питань бюджету і фінансів (В.Олійник) забезпечити оприлюднення цього рішення в десятиденний строк з дня його прийняття відповідно до частини четвертої статті 28 Бюджетного кодексу України.</w:t>
            </w:r>
          </w:p>
        </w:tc>
      </w:tr>
    </w:tbl>
    <w:p w:rsidR="00790CE6" w:rsidRPr="008E1526" w:rsidRDefault="00790CE6" w:rsidP="00790C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8E1526">
        <w:rPr>
          <w:sz w:val="28"/>
          <w:szCs w:val="28"/>
          <w:lang w:val="uk-UA"/>
        </w:rPr>
        <w:t>25. Контроль за виконанням рішення покласти на постійну комісію з питань бюджету і фінансів</w:t>
      </w:r>
      <w:r>
        <w:rPr>
          <w:sz w:val="28"/>
          <w:szCs w:val="28"/>
          <w:lang w:val="uk-UA"/>
        </w:rPr>
        <w:t xml:space="preserve"> </w:t>
      </w:r>
      <w:r w:rsidRPr="007A7A71">
        <w:rPr>
          <w:sz w:val="27"/>
          <w:szCs w:val="27"/>
        </w:rPr>
        <w:t>(</w:t>
      </w:r>
      <w:proofErr w:type="spellStart"/>
      <w:r w:rsidRPr="007A7A71">
        <w:rPr>
          <w:sz w:val="27"/>
          <w:szCs w:val="27"/>
        </w:rPr>
        <w:t>В.Олійник</w:t>
      </w:r>
      <w:proofErr w:type="spellEnd"/>
      <w:r w:rsidRPr="007A7A71">
        <w:rPr>
          <w:sz w:val="27"/>
          <w:szCs w:val="27"/>
        </w:rPr>
        <w:t>)</w:t>
      </w:r>
      <w:r w:rsidRPr="00A00072">
        <w:rPr>
          <w:sz w:val="27"/>
          <w:szCs w:val="27"/>
          <w:lang w:val="uk-UA"/>
        </w:rPr>
        <w:t xml:space="preserve">.   </w:t>
      </w:r>
      <w:r w:rsidRPr="008E1526">
        <w:rPr>
          <w:sz w:val="28"/>
          <w:szCs w:val="28"/>
          <w:lang w:val="uk-UA"/>
        </w:rPr>
        <w:t xml:space="preserve">  </w:t>
      </w:r>
    </w:p>
    <w:p w:rsidR="00790CE6" w:rsidRPr="003C6F43" w:rsidRDefault="00790CE6" w:rsidP="00790CE6">
      <w:pPr>
        <w:rPr>
          <w:color w:val="000000"/>
          <w:sz w:val="28"/>
          <w:szCs w:val="28"/>
        </w:rPr>
      </w:pPr>
    </w:p>
    <w:p w:rsidR="00790CE6" w:rsidRPr="00CB1060" w:rsidRDefault="00790CE6" w:rsidP="00790CE6">
      <w:pPr>
        <w:rPr>
          <w:color w:val="000000"/>
          <w:sz w:val="28"/>
          <w:szCs w:val="28"/>
          <w:lang w:val="uk-UA"/>
        </w:rPr>
      </w:pPr>
      <w:r w:rsidRPr="00FB3A51">
        <w:rPr>
          <w:sz w:val="27"/>
          <w:szCs w:val="27"/>
          <w:lang w:val="uk-UA"/>
        </w:rPr>
        <w:t xml:space="preserve">        </w:t>
      </w:r>
      <w:r w:rsidRPr="00CB1060">
        <w:rPr>
          <w:sz w:val="28"/>
          <w:szCs w:val="28"/>
          <w:lang w:val="uk-UA"/>
        </w:rPr>
        <w:t>Голова районної ради                                                                Олег Банах</w:t>
      </w:r>
    </w:p>
    <w:p w:rsidR="003C0A86" w:rsidRPr="003C0A86" w:rsidRDefault="003C0A86" w:rsidP="003C0A86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EF4BFB">
        <w:t xml:space="preserve"> </w:t>
      </w:r>
      <w:r>
        <w:rPr>
          <w:lang w:val="uk-UA"/>
        </w:rPr>
        <w:t xml:space="preserve"> </w:t>
      </w:r>
      <w:r w:rsidRPr="003C0A86">
        <w:t xml:space="preserve">                 </w:t>
      </w:r>
    </w:p>
    <w:p w:rsidR="003C0A86" w:rsidRDefault="003C0A86" w:rsidP="003C0A86">
      <w:pPr>
        <w:rPr>
          <w:lang w:val="uk-UA"/>
        </w:rPr>
      </w:pPr>
      <w:r w:rsidRPr="003C0A86">
        <w:t xml:space="preserve">                                                                                                            </w:t>
      </w:r>
      <w:r>
        <w:rPr>
          <w:lang w:val="uk-UA"/>
        </w:rPr>
        <w:t>Додаток №5</w:t>
      </w:r>
    </w:p>
    <w:p w:rsidR="003C0A86" w:rsidRDefault="003C0A86" w:rsidP="003C0A86">
      <w:pPr>
        <w:ind w:right="-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8A5279">
        <w:rPr>
          <w:lang w:val="uk-UA"/>
        </w:rPr>
        <w:t xml:space="preserve">   </w:t>
      </w:r>
      <w:r>
        <w:rPr>
          <w:lang w:val="uk-UA"/>
        </w:rPr>
        <w:t>до рішення Х</w:t>
      </w:r>
      <w:r>
        <w:rPr>
          <w:lang w:val="en-US"/>
        </w:rPr>
        <w:t>LV</w:t>
      </w:r>
      <w:r>
        <w:rPr>
          <w:lang w:val="uk-UA"/>
        </w:rPr>
        <w:t>ІІ сесії районної ради</w:t>
      </w:r>
    </w:p>
    <w:p w:rsidR="003C0A86" w:rsidRPr="00224315" w:rsidRDefault="003C0A86" w:rsidP="003C0A86">
      <w:r>
        <w:rPr>
          <w:lang w:val="uk-UA"/>
        </w:rPr>
        <w:t xml:space="preserve">                                                                                                          від </w:t>
      </w:r>
      <w:r w:rsidRPr="00224315">
        <w:t>17</w:t>
      </w:r>
      <w:r>
        <w:rPr>
          <w:lang w:val="uk-UA"/>
        </w:rPr>
        <w:t>.</w:t>
      </w:r>
      <w:r w:rsidRPr="00224315">
        <w:t>12</w:t>
      </w:r>
      <w:r>
        <w:rPr>
          <w:lang w:val="uk-UA"/>
        </w:rPr>
        <w:t>.</w:t>
      </w:r>
      <w:r w:rsidRPr="00224315">
        <w:t>2019</w:t>
      </w:r>
      <w:r>
        <w:rPr>
          <w:lang w:val="uk-UA"/>
        </w:rPr>
        <w:t xml:space="preserve">    №</w:t>
      </w:r>
      <w:r w:rsidRPr="00224315">
        <w:t>560</w:t>
      </w:r>
    </w:p>
    <w:p w:rsidR="003C0A86" w:rsidRDefault="003C0A86" w:rsidP="003C0A86">
      <w:pPr>
        <w:rPr>
          <w:b/>
          <w:lang w:val="uk-UA"/>
        </w:rPr>
      </w:pPr>
    </w:p>
    <w:p w:rsidR="003C0A86" w:rsidRDefault="003C0A86" w:rsidP="003C0A86">
      <w:pPr>
        <w:ind w:right="-2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Формула розподілу  міжбюджетних трансфертів з районного бюджету  бюджетам місцевого самоврядування  на утримання дитячих дошкільних установ</w:t>
      </w:r>
      <w:r w:rsidRPr="00224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 2020 році</w:t>
      </w:r>
    </w:p>
    <w:p w:rsidR="003C0A86" w:rsidRPr="00C13BC2" w:rsidRDefault="003C0A86" w:rsidP="003C0A86">
      <w:pPr>
        <w:rPr>
          <w:sz w:val="20"/>
          <w:szCs w:val="20"/>
          <w:u w:val="single"/>
          <w:lang w:val="uk-UA"/>
        </w:rPr>
      </w:pPr>
      <w:r w:rsidRPr="00C13BC2">
        <w:rPr>
          <w:sz w:val="20"/>
          <w:szCs w:val="20"/>
          <w:u w:val="single"/>
          <w:lang w:val="uk-UA"/>
        </w:rPr>
        <w:t>13307200000</w:t>
      </w:r>
    </w:p>
    <w:p w:rsidR="003C0A86" w:rsidRDefault="003C0A86" w:rsidP="003C0A8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код бюджету</w:t>
      </w:r>
    </w:p>
    <w:p w:rsidR="003C0A86" w:rsidRPr="00C13BC2" w:rsidRDefault="003C0A86" w:rsidP="003C0A86">
      <w:pPr>
        <w:rPr>
          <w:sz w:val="20"/>
          <w:szCs w:val="20"/>
          <w:lang w:val="uk-UA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334"/>
        <w:gridCol w:w="1102"/>
        <w:gridCol w:w="1102"/>
        <w:gridCol w:w="1377"/>
        <w:gridCol w:w="1240"/>
        <w:gridCol w:w="1377"/>
      </w:tblGrid>
      <w:tr w:rsidR="003C0A86" w:rsidRPr="00197334" w:rsidTr="008A5279">
        <w:trPr>
          <w:trHeight w:val="2094"/>
        </w:trPr>
        <w:tc>
          <w:tcPr>
            <w:tcW w:w="493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r w:rsidRPr="00197334">
              <w:rPr>
                <w:lang w:val="uk-UA"/>
              </w:rPr>
              <w:t>Найменування місцевих бюджетів</w:t>
            </w:r>
          </w:p>
        </w:tc>
        <w:tc>
          <w:tcPr>
            <w:tcW w:w="1102" w:type="dxa"/>
            <w:shd w:val="clear" w:color="auto" w:fill="auto"/>
          </w:tcPr>
          <w:p w:rsidR="003C0A86" w:rsidRPr="000378C8" w:rsidRDefault="003C0A86" w:rsidP="00C04B7F">
            <w:pPr>
              <w:jc w:val="both"/>
              <w:rPr>
                <w:sz w:val="22"/>
                <w:szCs w:val="22"/>
                <w:lang w:val="uk-UA"/>
              </w:rPr>
            </w:pPr>
            <w:r w:rsidRPr="000378C8">
              <w:rPr>
                <w:sz w:val="22"/>
                <w:szCs w:val="22"/>
                <w:lang w:val="uk-UA"/>
              </w:rPr>
              <w:t>Кількість дітей які відвідують дошкільні заклади</w:t>
            </w:r>
          </w:p>
        </w:tc>
        <w:tc>
          <w:tcPr>
            <w:tcW w:w="1102" w:type="dxa"/>
            <w:shd w:val="clear" w:color="auto" w:fill="auto"/>
          </w:tcPr>
          <w:p w:rsidR="003C0A86" w:rsidRPr="000378C8" w:rsidRDefault="003C0A86" w:rsidP="00C04B7F">
            <w:pPr>
              <w:jc w:val="both"/>
              <w:rPr>
                <w:sz w:val="22"/>
                <w:szCs w:val="22"/>
                <w:lang w:val="uk-UA"/>
              </w:rPr>
            </w:pPr>
            <w:r w:rsidRPr="000378C8">
              <w:rPr>
                <w:sz w:val="22"/>
                <w:szCs w:val="22"/>
                <w:lang w:val="uk-UA"/>
              </w:rPr>
              <w:t>Кількість груп у дошкільних закладах</w:t>
            </w:r>
          </w:p>
        </w:tc>
        <w:tc>
          <w:tcPr>
            <w:tcW w:w="1377" w:type="dxa"/>
            <w:shd w:val="clear" w:color="auto" w:fill="auto"/>
          </w:tcPr>
          <w:p w:rsidR="003C0A86" w:rsidRPr="000378C8" w:rsidRDefault="003C0A86" w:rsidP="00C04B7F">
            <w:pPr>
              <w:jc w:val="both"/>
              <w:rPr>
                <w:sz w:val="22"/>
                <w:szCs w:val="22"/>
              </w:rPr>
            </w:pPr>
            <w:r w:rsidRPr="000378C8">
              <w:rPr>
                <w:sz w:val="22"/>
                <w:szCs w:val="22"/>
                <w:lang w:val="uk-UA"/>
              </w:rPr>
              <w:t>Фінансовий норматив бюджетної забезпеченості на одну дитину дошкільного віку (</w:t>
            </w:r>
            <w:r w:rsidRPr="000378C8">
              <w:rPr>
                <w:sz w:val="22"/>
                <w:szCs w:val="22"/>
                <w:lang w:val="en-US"/>
              </w:rPr>
              <w:t>H</w:t>
            </w:r>
            <w:r w:rsidRPr="000378C8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3C0A86" w:rsidRPr="000378C8" w:rsidRDefault="003C0A86" w:rsidP="00C04B7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378C8">
              <w:rPr>
                <w:sz w:val="22"/>
                <w:szCs w:val="22"/>
                <w:lang w:val="uk-UA"/>
              </w:rPr>
              <w:t>Корегуючий</w:t>
            </w:r>
            <w:proofErr w:type="spellEnd"/>
            <w:r w:rsidRPr="000378C8">
              <w:rPr>
                <w:sz w:val="22"/>
                <w:szCs w:val="22"/>
                <w:lang w:val="uk-UA"/>
              </w:rPr>
              <w:t xml:space="preserve"> коефіцієнт (</w:t>
            </w:r>
            <w:r w:rsidRPr="000378C8">
              <w:rPr>
                <w:sz w:val="22"/>
                <w:szCs w:val="22"/>
                <w:lang w:val="en-US"/>
              </w:rPr>
              <w:t>K)</w:t>
            </w:r>
          </w:p>
          <w:p w:rsidR="003C0A86" w:rsidRPr="000378C8" w:rsidRDefault="003C0A86" w:rsidP="00C04B7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shd w:val="clear" w:color="auto" w:fill="auto"/>
          </w:tcPr>
          <w:p w:rsidR="003C0A86" w:rsidRPr="000378C8" w:rsidRDefault="003C0A86" w:rsidP="00C04B7F">
            <w:pPr>
              <w:jc w:val="both"/>
              <w:rPr>
                <w:sz w:val="22"/>
                <w:szCs w:val="22"/>
                <w:lang w:val="en-US"/>
              </w:rPr>
            </w:pPr>
            <w:r w:rsidRPr="000378C8">
              <w:rPr>
                <w:sz w:val="22"/>
                <w:szCs w:val="22"/>
                <w:lang w:val="uk-UA"/>
              </w:rPr>
              <w:t xml:space="preserve">Обсяг субвенції га утримання дошкільних закладів (з </w:t>
            </w:r>
            <w:proofErr w:type="spellStart"/>
            <w:r w:rsidRPr="000378C8">
              <w:rPr>
                <w:sz w:val="22"/>
                <w:szCs w:val="22"/>
                <w:lang w:val="uk-UA"/>
              </w:rPr>
              <w:t>окруленням</w:t>
            </w:r>
            <w:proofErr w:type="spellEnd"/>
            <w:r w:rsidRPr="000378C8">
              <w:rPr>
                <w:sz w:val="22"/>
                <w:szCs w:val="22"/>
                <w:lang w:val="uk-UA"/>
              </w:rPr>
              <w:t>) (V</w:t>
            </w:r>
            <w:r w:rsidRPr="000378C8">
              <w:rPr>
                <w:sz w:val="22"/>
                <w:szCs w:val="22"/>
                <w:lang w:val="en-US"/>
              </w:rPr>
              <w:t>o)</w:t>
            </w:r>
          </w:p>
        </w:tc>
      </w:tr>
      <w:tr w:rsidR="003C0A86" w:rsidRPr="00197334" w:rsidTr="008A5279">
        <w:trPr>
          <w:trHeight w:val="574"/>
        </w:trPr>
        <w:tc>
          <w:tcPr>
            <w:tcW w:w="493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r w:rsidRPr="00197334">
              <w:rPr>
                <w:lang w:val="uk-UA"/>
              </w:rPr>
              <w:t>1.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 w:rsidRPr="00197334">
              <w:rPr>
                <w:lang w:val="uk-UA"/>
              </w:rPr>
              <w:t>Великовільшанецька</w:t>
            </w:r>
            <w:proofErr w:type="spellEnd"/>
            <w:r w:rsidRPr="00197334">
              <w:rPr>
                <w:lang w:val="uk-UA"/>
              </w:rPr>
              <w:t xml:space="preserve"> сільська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0,3</w:t>
            </w:r>
            <w:r>
              <w:rPr>
                <w:lang w:val="uk-UA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510</w:t>
            </w:r>
            <w:r w:rsidRPr="00197334">
              <w:rPr>
                <w:lang w:val="uk-UA"/>
              </w:rPr>
              <w:t>00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2.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377" w:type="dxa"/>
            <w:shd w:val="clear" w:color="auto" w:fill="auto"/>
          </w:tcPr>
          <w:p w:rsidR="003C0A86" w:rsidRPr="003B0725" w:rsidRDefault="003C0A86" w:rsidP="00C04B7F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102500</w:t>
            </w:r>
            <w:r>
              <w:rPr>
                <w:lang w:val="en-US"/>
              </w:rPr>
              <w:t>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Єлиховицька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680250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4.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Куровицька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112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proofErr w:type="spellStart"/>
            <w:r>
              <w:rPr>
                <w:lang w:val="en-US"/>
              </w:rPr>
              <w:t>0</w:t>
            </w:r>
            <w:r>
              <w:rPr>
                <w:lang w:val="uk-UA"/>
              </w:rPr>
              <w:t>0</w:t>
            </w:r>
            <w:proofErr w:type="spellEnd"/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5.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Підгайчиківська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344DCD" w:rsidRDefault="003C0A86" w:rsidP="00C04B7F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0,3</w:t>
            </w:r>
            <w:r>
              <w:rPr>
                <w:lang w:val="uk-UA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935</w:t>
            </w:r>
            <w:r>
              <w:rPr>
                <w:lang w:val="en-US"/>
              </w:rPr>
              <w:t>00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6.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</w:t>
            </w:r>
            <w:r w:rsidRPr="00197334">
              <w:rPr>
                <w:lang w:val="uk-UA"/>
              </w:rPr>
              <w:t>сільська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0,3</w:t>
            </w:r>
            <w:r>
              <w:rPr>
                <w:lang w:val="uk-UA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110500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34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b/>
                <w:lang w:val="uk-UA"/>
              </w:rPr>
            </w:pPr>
            <w:r w:rsidRPr="00AD790F">
              <w:rPr>
                <w:b/>
                <w:lang w:val="uk-UA"/>
              </w:rPr>
              <w:t>Разом по бюджетах сіл</w:t>
            </w:r>
          </w:p>
        </w:tc>
        <w:tc>
          <w:tcPr>
            <w:tcW w:w="1102" w:type="dxa"/>
            <w:shd w:val="clear" w:color="auto" w:fill="auto"/>
          </w:tcPr>
          <w:p w:rsidR="003C0A86" w:rsidRPr="00AD790F" w:rsidRDefault="003C0A86" w:rsidP="00C04B7F">
            <w:pPr>
              <w:jc w:val="right"/>
              <w:rPr>
                <w:b/>
                <w:lang w:val="uk-UA"/>
              </w:rPr>
            </w:pPr>
            <w:r w:rsidRPr="00AD790F">
              <w:rPr>
                <w:b/>
                <w:lang w:val="uk-UA"/>
              </w:rPr>
              <w:t>13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:rsidR="003C0A86" w:rsidRPr="00AD790F" w:rsidRDefault="003C0A86" w:rsidP="00C04B7F">
            <w:pPr>
              <w:jc w:val="right"/>
              <w:rPr>
                <w:b/>
                <w:lang w:val="uk-UA"/>
              </w:rPr>
            </w:pPr>
            <w:r w:rsidRPr="00AD790F">
              <w:rPr>
                <w:b/>
                <w:lang w:val="uk-UA"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3C0A86" w:rsidRPr="00AD790F" w:rsidRDefault="003C0A86" w:rsidP="00C04B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 w:rsidR="003C0A86" w:rsidRPr="00AD790F" w:rsidRDefault="003C0A86" w:rsidP="00C04B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3C0A86" w:rsidRPr="00AD790F" w:rsidRDefault="003C0A86" w:rsidP="00C04B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308525</w:t>
            </w:r>
            <w:r w:rsidRPr="00AD790F">
              <w:rPr>
                <w:b/>
                <w:lang w:val="uk-UA"/>
              </w:rPr>
              <w:t>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7.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Глинянська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1248750</w:t>
            </w:r>
          </w:p>
        </w:tc>
      </w:tr>
      <w:tr w:rsidR="003C0A86" w:rsidRPr="00197334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D790F" w:rsidRDefault="003C0A86" w:rsidP="00C04B7F">
            <w:pPr>
              <w:jc w:val="both"/>
              <w:rPr>
                <w:lang w:val="uk-UA"/>
              </w:rPr>
            </w:pPr>
            <w:r w:rsidRPr="00AD790F">
              <w:rPr>
                <w:lang w:val="uk-UA"/>
              </w:rPr>
              <w:t>8.</w:t>
            </w:r>
          </w:p>
        </w:tc>
        <w:tc>
          <w:tcPr>
            <w:tcW w:w="3334" w:type="dxa"/>
            <w:shd w:val="clear" w:color="auto" w:fill="auto"/>
          </w:tcPr>
          <w:p w:rsidR="003C0A86" w:rsidRPr="00197334" w:rsidRDefault="003C0A86" w:rsidP="00C04B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Поморянська</w:t>
            </w:r>
            <w:proofErr w:type="spellEnd"/>
            <w:r>
              <w:rPr>
                <w:lang w:val="uk-UA"/>
              </w:rPr>
              <w:t xml:space="preserve"> селищна рада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02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 w:rsidRPr="00197334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00</w:t>
            </w:r>
            <w:r w:rsidRPr="00197334">
              <w:rPr>
                <w:lang w:val="uk-UA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377" w:type="dxa"/>
            <w:shd w:val="clear" w:color="auto" w:fill="auto"/>
          </w:tcPr>
          <w:p w:rsidR="003C0A86" w:rsidRPr="00197334" w:rsidRDefault="003C0A86" w:rsidP="00C04B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666000</w:t>
            </w:r>
          </w:p>
        </w:tc>
      </w:tr>
      <w:tr w:rsidR="003C0A86" w:rsidRPr="00A602B3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602B3" w:rsidRDefault="003C0A86" w:rsidP="00C04B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34" w:type="dxa"/>
            <w:shd w:val="clear" w:color="auto" w:fill="auto"/>
          </w:tcPr>
          <w:p w:rsidR="003C0A86" w:rsidRPr="00A602B3" w:rsidRDefault="003C0A86" w:rsidP="00C04B7F">
            <w:pPr>
              <w:jc w:val="both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Разом по бюджетах</w:t>
            </w:r>
            <w:r>
              <w:rPr>
                <w:b/>
                <w:lang w:val="uk-UA"/>
              </w:rPr>
              <w:t xml:space="preserve"> міст</w:t>
            </w:r>
          </w:p>
        </w:tc>
        <w:tc>
          <w:tcPr>
            <w:tcW w:w="1102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102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91475</w:t>
            </w:r>
            <w:r w:rsidRPr="00A602B3">
              <w:rPr>
                <w:b/>
                <w:lang w:val="uk-UA"/>
              </w:rPr>
              <w:t>0</w:t>
            </w:r>
          </w:p>
        </w:tc>
      </w:tr>
      <w:tr w:rsidR="003C0A86" w:rsidRPr="00A602B3" w:rsidTr="008A5279">
        <w:trPr>
          <w:trHeight w:val="279"/>
        </w:trPr>
        <w:tc>
          <w:tcPr>
            <w:tcW w:w="493" w:type="dxa"/>
            <w:shd w:val="clear" w:color="auto" w:fill="auto"/>
          </w:tcPr>
          <w:p w:rsidR="003C0A86" w:rsidRPr="00A602B3" w:rsidRDefault="003C0A86" w:rsidP="00C04B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34" w:type="dxa"/>
            <w:shd w:val="clear" w:color="auto" w:fill="auto"/>
          </w:tcPr>
          <w:p w:rsidR="003C0A86" w:rsidRPr="00A602B3" w:rsidRDefault="003C0A86" w:rsidP="00C04B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02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102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</w:p>
        </w:tc>
      </w:tr>
      <w:tr w:rsidR="003C0A86" w:rsidRPr="00A602B3" w:rsidTr="008A5279">
        <w:trPr>
          <w:trHeight w:val="295"/>
        </w:trPr>
        <w:tc>
          <w:tcPr>
            <w:tcW w:w="493" w:type="dxa"/>
            <w:shd w:val="clear" w:color="auto" w:fill="auto"/>
          </w:tcPr>
          <w:p w:rsidR="003C0A86" w:rsidRPr="00A602B3" w:rsidRDefault="003C0A86" w:rsidP="00C04B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34" w:type="dxa"/>
            <w:shd w:val="clear" w:color="auto" w:fill="auto"/>
          </w:tcPr>
          <w:p w:rsidR="003C0A86" w:rsidRPr="00A602B3" w:rsidRDefault="003C0A86" w:rsidP="00C04B7F">
            <w:pPr>
              <w:jc w:val="both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ВСЬОГО</w:t>
            </w:r>
          </w:p>
        </w:tc>
        <w:tc>
          <w:tcPr>
            <w:tcW w:w="1102" w:type="dxa"/>
            <w:shd w:val="clear" w:color="auto" w:fill="auto"/>
          </w:tcPr>
          <w:p w:rsidR="003C0A86" w:rsidRPr="005F2C8F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11</w:t>
            </w:r>
          </w:p>
        </w:tc>
        <w:tc>
          <w:tcPr>
            <w:tcW w:w="1377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240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 w:rsidRPr="00A602B3">
              <w:rPr>
                <w:b/>
                <w:lang w:val="uk-UA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3C0A86" w:rsidRPr="00A602B3" w:rsidRDefault="003C0A86" w:rsidP="00C04B7F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5000000</w:t>
            </w:r>
          </w:p>
        </w:tc>
      </w:tr>
    </w:tbl>
    <w:p w:rsidR="003C0A86" w:rsidRDefault="003C0A86" w:rsidP="003C0A86">
      <w:pPr>
        <w:jc w:val="both"/>
        <w:rPr>
          <w:sz w:val="28"/>
          <w:szCs w:val="28"/>
          <w:lang w:val="uk-UA"/>
        </w:rPr>
      </w:pPr>
    </w:p>
    <w:p w:rsidR="003C0A86" w:rsidRDefault="003C0A86" w:rsidP="003C0A86">
      <w:pPr>
        <w:jc w:val="both"/>
        <w:rPr>
          <w:sz w:val="28"/>
          <w:szCs w:val="28"/>
          <w:lang w:val="uk-UA"/>
        </w:rPr>
      </w:pPr>
      <w:r w:rsidRPr="00885F3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Показник обсягу субвенції на утримання дитячих дошкільних установ для міського, селищного  та сільських бюджетів (V</w:t>
      </w:r>
      <w:r>
        <w:rPr>
          <w:sz w:val="16"/>
          <w:szCs w:val="16"/>
          <w:lang w:val="en-US"/>
        </w:rPr>
        <w:t>o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визначається за такою формулою:</w:t>
      </w:r>
    </w:p>
    <w:p w:rsidR="003C0A86" w:rsidRPr="004A7EAD" w:rsidRDefault="003C0A86" w:rsidP="003C0A86">
      <w:pPr>
        <w:jc w:val="both"/>
        <w:rPr>
          <w:sz w:val="28"/>
          <w:szCs w:val="28"/>
          <w:lang w:val="uk-UA"/>
        </w:rPr>
      </w:pPr>
      <w:r w:rsidRPr="004A7EA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en-US"/>
        </w:rPr>
        <w:t>V</w:t>
      </w:r>
      <w:r>
        <w:rPr>
          <w:sz w:val="16"/>
          <w:szCs w:val="16"/>
          <w:lang w:val="en-US"/>
        </w:rPr>
        <w:t>o</w:t>
      </w:r>
      <w:r w:rsidRPr="004A7EAD">
        <w:rPr>
          <w:sz w:val="28"/>
          <w:szCs w:val="28"/>
          <w:lang w:val="uk-UA"/>
        </w:rPr>
        <w:t xml:space="preserve"> </w:t>
      </w:r>
      <w:proofErr w:type="gramStart"/>
      <w:r w:rsidRPr="004A7EAD">
        <w:rPr>
          <w:sz w:val="28"/>
          <w:szCs w:val="28"/>
          <w:lang w:val="uk-UA"/>
        </w:rPr>
        <w:t xml:space="preserve">=  </w:t>
      </w:r>
      <w:r>
        <w:rPr>
          <w:sz w:val="28"/>
          <w:szCs w:val="28"/>
          <w:lang w:val="en-US"/>
        </w:rPr>
        <w:t>D</w:t>
      </w:r>
      <w:proofErr w:type="gramEnd"/>
      <w:r w:rsidRPr="004A7EAD">
        <w:rPr>
          <w:sz w:val="28"/>
          <w:szCs w:val="28"/>
          <w:lang w:val="uk-UA"/>
        </w:rPr>
        <w:t xml:space="preserve"> * </w:t>
      </w:r>
      <w:r>
        <w:rPr>
          <w:sz w:val="28"/>
          <w:szCs w:val="28"/>
          <w:lang w:val="en-US"/>
        </w:rPr>
        <w:t>H</w:t>
      </w:r>
      <w:r w:rsidRPr="004A7EAD">
        <w:rPr>
          <w:sz w:val="28"/>
          <w:szCs w:val="28"/>
          <w:lang w:val="uk-UA"/>
        </w:rPr>
        <w:t xml:space="preserve"> * </w:t>
      </w:r>
      <w:r>
        <w:rPr>
          <w:sz w:val="28"/>
          <w:szCs w:val="28"/>
          <w:lang w:val="en-US"/>
        </w:rPr>
        <w:t>Km</w:t>
      </w:r>
      <w:r w:rsidRPr="004A7EAD">
        <w:rPr>
          <w:sz w:val="28"/>
          <w:szCs w:val="28"/>
          <w:lang w:val="uk-UA"/>
        </w:rPr>
        <w:t xml:space="preserve"> * </w:t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4A7EAD">
        <w:rPr>
          <w:sz w:val="28"/>
          <w:szCs w:val="28"/>
          <w:lang w:val="uk-UA"/>
        </w:rPr>
        <w:t xml:space="preserve">  + </w:t>
      </w:r>
      <w:r>
        <w:rPr>
          <w:sz w:val="28"/>
          <w:szCs w:val="28"/>
          <w:lang w:val="en-US"/>
        </w:rPr>
        <w:t>W</w:t>
      </w:r>
      <w:r w:rsidRPr="004A7EAD">
        <w:rPr>
          <w:sz w:val="28"/>
          <w:szCs w:val="28"/>
          <w:lang w:val="uk-UA"/>
        </w:rPr>
        <w:t xml:space="preserve">   </w:t>
      </w:r>
    </w:p>
    <w:p w:rsidR="003C0A86" w:rsidRDefault="003C0A86" w:rsidP="003C0A86">
      <w:pPr>
        <w:jc w:val="both"/>
        <w:rPr>
          <w:sz w:val="28"/>
          <w:szCs w:val="28"/>
          <w:lang w:val="uk-UA"/>
        </w:rPr>
      </w:pPr>
      <w:r w:rsidRPr="004A7EA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</w:t>
      </w:r>
      <w:r w:rsidRPr="004A7EA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D – фактична кількість  дітей віком до шести років, які відвідували  дошкільні установи у 2019 році ;</w:t>
      </w:r>
    </w:p>
    <w:p w:rsidR="003C0A86" w:rsidRDefault="003C0A86" w:rsidP="003C0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H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фінансовий </w:t>
      </w:r>
      <w:r>
        <w:rPr>
          <w:sz w:val="28"/>
          <w:szCs w:val="28"/>
        </w:rPr>
        <w:t xml:space="preserve">норматив </w:t>
      </w:r>
      <w:proofErr w:type="spellStart"/>
      <w:r>
        <w:rPr>
          <w:sz w:val="28"/>
          <w:szCs w:val="28"/>
        </w:rPr>
        <w:t>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забезпеченості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дитину дошкільного віку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  <w:lang w:val="uk-UA"/>
        </w:rPr>
        <w:t xml:space="preserve"> дошкільних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  <w:lang w:val="uk-UA"/>
        </w:rPr>
        <w:t>розташованих на території міста, селища та сіл (на 20</w:t>
      </w:r>
      <w:proofErr w:type="spellStart"/>
      <w:r w:rsidRPr="003B0725">
        <w:rPr>
          <w:sz w:val="28"/>
          <w:szCs w:val="28"/>
        </w:rPr>
        <w:t>20</w:t>
      </w:r>
      <w:proofErr w:type="spellEnd"/>
      <w:r>
        <w:rPr>
          <w:sz w:val="28"/>
          <w:szCs w:val="28"/>
          <w:lang w:val="uk-UA"/>
        </w:rPr>
        <w:t xml:space="preserve"> рік норматив 25000 грн.) ;</w:t>
      </w:r>
    </w:p>
    <w:p w:rsidR="003C0A86" w:rsidRDefault="003C0A86" w:rsidP="003C0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Km</w:t>
      </w:r>
      <w:r w:rsidRPr="00885F3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uk-UA"/>
        </w:rPr>
        <w:t>коригуючий</w:t>
      </w:r>
      <w:proofErr w:type="spellEnd"/>
      <w:r>
        <w:rPr>
          <w:sz w:val="28"/>
          <w:szCs w:val="28"/>
          <w:lang w:val="uk-UA"/>
        </w:rPr>
        <w:t xml:space="preserve"> коефіцієнт для прогулянкових груп (0</w:t>
      </w:r>
      <w:proofErr w:type="gramStart"/>
      <w:r>
        <w:rPr>
          <w:sz w:val="28"/>
          <w:szCs w:val="28"/>
          <w:lang w:val="uk-UA"/>
        </w:rPr>
        <w:t>,34</w:t>
      </w:r>
      <w:proofErr w:type="gramEnd"/>
      <w:r>
        <w:rPr>
          <w:sz w:val="28"/>
          <w:szCs w:val="28"/>
          <w:lang w:val="uk-UA"/>
        </w:rPr>
        <w:t>);</w:t>
      </w:r>
    </w:p>
    <w:p w:rsidR="003C0A86" w:rsidRPr="00856616" w:rsidRDefault="003C0A86" w:rsidP="003C0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en-US"/>
        </w:rPr>
        <w:t>Kn</w:t>
      </w:r>
      <w:proofErr w:type="spellEnd"/>
      <w:r w:rsidRPr="00885F37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коригуючий</w:t>
      </w:r>
      <w:proofErr w:type="spellEnd"/>
      <w:r>
        <w:rPr>
          <w:sz w:val="28"/>
          <w:szCs w:val="28"/>
          <w:lang w:val="uk-UA"/>
        </w:rPr>
        <w:t xml:space="preserve"> коефіцієнт</w:t>
      </w:r>
      <w:r w:rsidRPr="00885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міської та селищної місцевості (1</w:t>
      </w:r>
      <w:proofErr w:type="gramStart"/>
      <w:r>
        <w:rPr>
          <w:sz w:val="28"/>
          <w:szCs w:val="28"/>
          <w:lang w:val="uk-UA"/>
        </w:rPr>
        <w:t>,11</w:t>
      </w:r>
      <w:proofErr w:type="gramEnd"/>
      <w:r>
        <w:rPr>
          <w:sz w:val="28"/>
          <w:szCs w:val="28"/>
          <w:lang w:val="uk-UA"/>
        </w:rPr>
        <w:t>);</w:t>
      </w:r>
    </w:p>
    <w:p w:rsidR="003C0A86" w:rsidRPr="00856616" w:rsidRDefault="003C0A86" w:rsidP="003C0A86">
      <w:pPr>
        <w:jc w:val="both"/>
        <w:rPr>
          <w:sz w:val="28"/>
          <w:szCs w:val="28"/>
          <w:lang w:val="uk-UA"/>
        </w:rPr>
      </w:pPr>
      <w:r w:rsidRPr="00885F37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W</w:t>
      </w:r>
      <w:r w:rsidRPr="00885F3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  <w:lang w:val="uk-UA"/>
        </w:rPr>
        <w:t>витрати</w:t>
      </w:r>
      <w:proofErr w:type="gramEnd"/>
      <w:r>
        <w:rPr>
          <w:sz w:val="28"/>
          <w:szCs w:val="28"/>
          <w:lang w:val="uk-UA"/>
        </w:rPr>
        <w:t xml:space="preserve"> на інклюзивну форму навчання(155250 грн.)</w:t>
      </w:r>
    </w:p>
    <w:p w:rsidR="003C0A86" w:rsidRDefault="003C0A86" w:rsidP="003C0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C0A86" w:rsidRDefault="003C0A86" w:rsidP="003C0A86">
      <w:pPr>
        <w:jc w:val="both"/>
        <w:rPr>
          <w:sz w:val="28"/>
          <w:szCs w:val="28"/>
          <w:lang w:val="uk-UA"/>
        </w:rPr>
      </w:pPr>
    </w:p>
    <w:p w:rsidR="003C0A86" w:rsidRPr="00197334" w:rsidRDefault="003C0A86" w:rsidP="003C0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F36DBC" w:rsidRDefault="003C0A86" w:rsidP="008A5279">
      <w:pPr>
        <w:jc w:val="both"/>
      </w:pPr>
      <w:r>
        <w:rPr>
          <w:sz w:val="28"/>
          <w:szCs w:val="28"/>
          <w:lang w:val="uk-UA"/>
        </w:rPr>
        <w:t xml:space="preserve">          </w:t>
      </w:r>
      <w:r w:rsidRPr="00F25DBF">
        <w:rPr>
          <w:sz w:val="28"/>
          <w:szCs w:val="28"/>
          <w:lang w:val="uk-UA"/>
        </w:rPr>
        <w:t>Керуючий</w:t>
      </w:r>
      <w:r w:rsidRPr="00F25DBF">
        <w:rPr>
          <w:sz w:val="28"/>
          <w:szCs w:val="28"/>
        </w:rPr>
        <w:t xml:space="preserve"> справами</w:t>
      </w:r>
      <w:r w:rsidRPr="00F25DBF">
        <w:rPr>
          <w:sz w:val="28"/>
          <w:szCs w:val="28"/>
          <w:lang w:val="uk-UA"/>
        </w:rPr>
        <w:t xml:space="preserve"> районної ради         </w:t>
      </w:r>
      <w:r>
        <w:rPr>
          <w:sz w:val="28"/>
          <w:szCs w:val="28"/>
          <w:lang w:val="uk-UA"/>
        </w:rPr>
        <w:t xml:space="preserve">                   </w:t>
      </w:r>
      <w:r w:rsidRPr="00F25DBF">
        <w:rPr>
          <w:sz w:val="28"/>
          <w:szCs w:val="28"/>
          <w:lang w:val="uk-UA"/>
        </w:rPr>
        <w:t xml:space="preserve">               Н</w:t>
      </w:r>
      <w:r>
        <w:rPr>
          <w:sz w:val="28"/>
          <w:szCs w:val="28"/>
          <w:lang w:val="uk-UA"/>
        </w:rPr>
        <w:t>.</w:t>
      </w:r>
      <w:proofErr w:type="spellStart"/>
      <w:r w:rsidRPr="00F25DBF">
        <w:rPr>
          <w:sz w:val="28"/>
          <w:szCs w:val="28"/>
          <w:lang w:val="uk-UA"/>
        </w:rPr>
        <w:t>Калуцька</w:t>
      </w:r>
      <w:proofErr w:type="spellEnd"/>
    </w:p>
    <w:sectPr w:rsidR="00F36DBC" w:rsidSect="00F3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E6"/>
    <w:rsid w:val="003C0A86"/>
    <w:rsid w:val="00790CE6"/>
    <w:rsid w:val="008A5279"/>
    <w:rsid w:val="00F3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0CE6"/>
    <w:pPr>
      <w:keepNext/>
      <w:jc w:val="center"/>
      <w:outlineLvl w:val="4"/>
    </w:pPr>
    <w:rPr>
      <w:sz w:val="44"/>
      <w:szCs w:val="20"/>
      <w:lang w:val="uk-UA"/>
    </w:rPr>
  </w:style>
  <w:style w:type="paragraph" w:styleId="7">
    <w:name w:val="heading 7"/>
    <w:basedOn w:val="a"/>
    <w:next w:val="a"/>
    <w:link w:val="70"/>
    <w:qFormat/>
    <w:rsid w:val="00790CE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0CE6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90C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0CE6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90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Блажейко</dc:creator>
  <cp:lastModifiedBy>Блажейко</cp:lastModifiedBy>
  <cp:revision>1</cp:revision>
  <dcterms:created xsi:type="dcterms:W3CDTF">2019-12-27T09:40:00Z</dcterms:created>
  <dcterms:modified xsi:type="dcterms:W3CDTF">2019-12-27T10:02:00Z</dcterms:modified>
</cp:coreProperties>
</file>